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71" w:rightFromText="171" w:vertAnchor="text"/>
        <w:bidiVisual/>
        <w:tblW w:w="5000" w:type="pct"/>
        <w:tblCellMar>
          <w:left w:w="0" w:type="dxa"/>
          <w:right w:w="0" w:type="dxa"/>
        </w:tblCellMar>
        <w:tblLook w:val="04A0" w:firstRow="1" w:lastRow="0" w:firstColumn="1" w:lastColumn="0" w:noHBand="0" w:noVBand="1"/>
      </w:tblPr>
      <w:tblGrid>
        <w:gridCol w:w="1385"/>
        <w:gridCol w:w="6921"/>
      </w:tblGrid>
      <w:tr w:rsidR="00BE370F" w:rsidTr="00BE370F">
        <w:trPr>
          <w:trHeight w:val="80"/>
        </w:trPr>
        <w:tc>
          <w:tcPr>
            <w:tcW w:w="664" w:type="pct"/>
            <w:tcMar>
              <w:top w:w="0" w:type="dxa"/>
              <w:left w:w="108" w:type="dxa"/>
              <w:bottom w:w="0" w:type="dxa"/>
              <w:right w:w="108" w:type="dxa"/>
            </w:tcMar>
            <w:hideMark/>
          </w:tcPr>
          <w:p w:rsidR="00BE370F" w:rsidRDefault="00BE370F">
            <w:pPr>
              <w:bidi/>
              <w:jc w:val="lowKashida"/>
              <w:rPr>
                <w:rFonts w:ascii="Times New Roman" w:hAnsi="Times New Roman" w:cs="Times New Roman"/>
                <w14:shadow w14:blurRad="50800" w14:dist="38100" w14:dir="2700000" w14:sx="100000" w14:sy="100000" w14:kx="0" w14:ky="0" w14:algn="tl">
                  <w14:srgbClr w14:val="000000">
                    <w14:alpha w14:val="60000"/>
                  </w14:srgbClr>
                </w14:shadow>
              </w:rPr>
            </w:pPr>
            <w:r>
              <w:rPr>
                <w:rFonts w:ascii="Simplified Arabic" w:hAnsi="Simplified Arabic" w:cs="Simplified Arabic"/>
                <w:b/>
                <w:bCs/>
                <w:rtl/>
                <w:lang w:bidi="ar-JO"/>
                <w14:shadow w14:blurRad="50800" w14:dist="38100" w14:dir="2700000" w14:sx="100000" w14:sy="100000" w14:kx="0" w14:ky="0" w14:algn="tl">
                  <w14:srgbClr w14:val="000000">
                    <w14:alpha w14:val="60000"/>
                  </w14:srgbClr>
                </w14:shadow>
              </w:rPr>
              <w:t>10</w:t>
            </w:r>
            <w:bookmarkStart w:id="0" w:name="_GoBack"/>
            <w:bookmarkEnd w:id="0"/>
            <w:r>
              <w:rPr>
                <w:rFonts w:ascii="Simplified Arabic" w:hAnsi="Simplified Arabic" w:cs="Simplified Arabic"/>
                <w:b/>
                <w:bCs/>
                <w:rtl/>
                <w:lang w:bidi="ar-JO"/>
                <w14:shadow w14:blurRad="50800" w14:dist="38100" w14:dir="2700000" w14:sx="100000" w14:sy="100000" w14:kx="0" w14:ky="0" w14:algn="tl">
                  <w14:srgbClr w14:val="000000">
                    <w14:alpha w14:val="60000"/>
                  </w14:srgbClr>
                </w14:shadow>
              </w:rPr>
              <w:t>39/2021–</w:t>
            </w:r>
          </w:p>
        </w:tc>
        <w:tc>
          <w:tcPr>
            <w:tcW w:w="4336" w:type="pct"/>
            <w:tcMar>
              <w:top w:w="0" w:type="dxa"/>
              <w:left w:w="108" w:type="dxa"/>
              <w:bottom w:w="0" w:type="dxa"/>
              <w:right w:w="108" w:type="dxa"/>
            </w:tcMar>
          </w:tcPr>
          <w:p w:rsidR="00BE370F" w:rsidRDefault="00BE370F">
            <w:pPr>
              <w:bidi/>
              <w:spacing w:line="360" w:lineRule="auto"/>
              <w:jc w:val="both"/>
              <w:rPr>
                <w:rFonts w:ascii="Simplified Arabic" w:hAnsi="Simplified Arabic" w:cs="Simplified Arabic"/>
                <w:b/>
                <w:bCs/>
                <w:sz w:val="26"/>
                <w:szCs w:val="26"/>
                <w:u w:val="single"/>
                <w14:shadow w14:blurRad="50800" w14:dist="38100" w14:dir="2700000" w14:sx="100000" w14:sy="100000" w14:kx="0" w14:ky="0" w14:algn="tl">
                  <w14:srgbClr w14:val="000000">
                    <w14:alpha w14:val="60000"/>
                  </w14:srgbClr>
                </w14:shadow>
              </w:rPr>
            </w:pPr>
            <w:r>
              <w:rPr>
                <w:rFonts w:ascii="Simplified Arabic" w:hAnsi="Simplified Arabic" w:cs="Simplified Arabic"/>
                <w:b/>
                <w:bCs/>
                <w:sz w:val="26"/>
                <w:szCs w:val="26"/>
                <w:u w:val="single"/>
                <w:rtl/>
                <w:lang w:bidi="ar-JO"/>
                <w14:shadow w14:blurRad="50800" w14:dist="38100" w14:dir="2700000" w14:sx="100000" w14:sy="100000" w14:kx="0" w14:ky="0" w14:algn="tl">
                  <w14:srgbClr w14:val="000000">
                    <w14:alpha w14:val="60000"/>
                  </w14:srgbClr>
                </w14:shadow>
              </w:rPr>
              <w:t xml:space="preserve">القرار التنظيمي لممارسة أنشطة الطاقة المتجددة </w:t>
            </w:r>
          </w:p>
          <w:p w:rsidR="00BE370F" w:rsidRDefault="00BE370F">
            <w:pPr>
              <w:shd w:val="clear" w:color="auto" w:fill="FFFFFF"/>
              <w:bidi/>
              <w:jc w:val="both"/>
              <w:rPr>
                <w:rFonts w:ascii="Simplified Arabic" w:hAnsi="Simplified Arabic" w:cs="Simplified Arabic"/>
                <w:sz w:val="26"/>
                <w:szCs w:val="26"/>
                <w14:shadow w14:blurRad="50800" w14:dist="38100" w14:dir="2700000" w14:sx="100000" w14:sy="100000" w14:kx="0" w14:ky="0" w14:algn="tl">
                  <w14:srgbClr w14:val="000000">
                    <w14:alpha w14:val="60000"/>
                  </w14:srgbClr>
                </w14:shadow>
              </w:rPr>
            </w:pPr>
            <w:r>
              <w:rPr>
                <w:rFonts w:ascii="Simplified Arabic" w:hAnsi="Simplified Arabic" w:cs="Simplified Arabic"/>
                <w:sz w:val="26"/>
                <w:szCs w:val="26"/>
                <w:rtl/>
                <w:lang w:bidi="ar-JO"/>
                <w14:shadow w14:blurRad="50800" w14:dist="38100" w14:dir="2700000" w14:sx="100000" w14:sy="100000" w14:kx="0" w14:ky="0" w14:algn="tl">
                  <w14:srgbClr w14:val="000000">
                    <w14:alpha w14:val="60000"/>
                  </w14:srgbClr>
                </w14:shadow>
              </w:rPr>
              <w:t>لاحقاً لقرار المجلس رقم 546/2021 الصادر في جلسته رقم (36) تاريخ 29/7/2021 المتضمن الموافقة على إصدار قرار تنظيمي بإلغاء طلب عقد الائتلاف مع مقاول مصنف لدى وزار الأشغال العامة والإسكان لغايات تنفيذ المشاريع التي تبلغ قدرتها (50) كيلوواط فأقل، ومخاطبة شركات توزيع الكهرباء لغايات التحقق من وجود مقاول مصنف لغايات تنفيذ المشاريع التي تزيد قدرتها عن (50) كيلوواط، وأن يتم تعيين مكتب هندسي مرخص لدى نقابة المهندسين الأردنيين لغايات التصميم والإشراف على تنفيذ المشاريع التي تزيد قدرتها عن (50) كيلوواط.</w:t>
            </w:r>
          </w:p>
          <w:p w:rsidR="00BE370F" w:rsidRDefault="00BE370F">
            <w:pPr>
              <w:shd w:val="clear" w:color="auto" w:fill="FFFFFF"/>
              <w:bidi/>
              <w:jc w:val="both"/>
              <w:rPr>
                <w:rFonts w:ascii="Simplified Arabic" w:hAnsi="Simplified Arabic" w:cs="Simplified Arabic"/>
                <w:sz w:val="32"/>
                <w:szCs w:val="32"/>
                <w:lang w:bidi="ar-JO"/>
                <w14:shadow w14:blurRad="50800" w14:dist="38100" w14:dir="2700000" w14:sx="100000" w14:sy="100000" w14:kx="0" w14:ky="0" w14:algn="tl">
                  <w14:srgbClr w14:val="000000">
                    <w14:alpha w14:val="60000"/>
                  </w14:srgbClr>
                </w14:shadow>
              </w:rPr>
            </w:pPr>
          </w:p>
          <w:p w:rsidR="00BE370F" w:rsidRDefault="00BE370F">
            <w:pPr>
              <w:shd w:val="clear" w:color="auto" w:fill="FFFFFF"/>
              <w:bidi/>
              <w:jc w:val="both"/>
              <w:rPr>
                <w:rFonts w:ascii="Simplified Arabic" w:hAnsi="Simplified Arabic" w:cs="Simplified Arabic"/>
                <w:sz w:val="26"/>
                <w:szCs w:val="26"/>
                <w:lang w:bidi="ar-JO"/>
                <w14:shadow w14:blurRad="50800" w14:dist="38100" w14:dir="2700000" w14:sx="100000" w14:sy="100000" w14:kx="0" w14:ky="0" w14:algn="tl">
                  <w14:srgbClr w14:val="000000">
                    <w14:alpha w14:val="60000"/>
                  </w14:srgbClr>
                </w14:shadow>
              </w:rPr>
            </w:pPr>
            <w:r>
              <w:rPr>
                <w:rFonts w:ascii="Simplified Arabic" w:hAnsi="Simplified Arabic" w:cs="Simplified Arabic"/>
                <w:sz w:val="26"/>
                <w:szCs w:val="26"/>
                <w:rtl/>
                <w:lang w:bidi="ar-JO"/>
                <w14:shadow w14:blurRad="50800" w14:dist="38100" w14:dir="2700000" w14:sx="100000" w14:sy="100000" w14:kx="0" w14:ky="0" w14:algn="tl">
                  <w14:srgbClr w14:val="000000">
                    <w14:alpha w14:val="60000"/>
                  </w14:srgbClr>
                </w14:shadow>
              </w:rPr>
              <w:t xml:space="preserve">اطلع المجلس على المذكرة المقدّمة بتاريخ 7/12/2021 من مديرية الكهرباء والطاقة المتجددة والمتضمنة التنسيب بتعديل القرار التنظيمي الوارد بقرار المجلس أعلاه في ضوء دراسة الموضوع والذي تضمن نقاط أكثر تفصيلاً. </w:t>
            </w:r>
          </w:p>
          <w:p w:rsidR="00BE370F" w:rsidRDefault="00BE370F">
            <w:pPr>
              <w:shd w:val="clear" w:color="auto" w:fill="FFFFFF"/>
              <w:bidi/>
              <w:jc w:val="both"/>
              <w:rPr>
                <w:rFonts w:ascii="Simplified Arabic" w:hAnsi="Simplified Arabic" w:cs="Simplified Arabic"/>
                <w:sz w:val="32"/>
                <w:szCs w:val="32"/>
                <w:rtl/>
                <w:lang w:bidi="ar-JO"/>
                <w14:shadow w14:blurRad="50800" w14:dist="38100" w14:dir="2700000" w14:sx="100000" w14:sy="100000" w14:kx="0" w14:ky="0" w14:algn="tl">
                  <w14:srgbClr w14:val="000000">
                    <w14:alpha w14:val="60000"/>
                  </w14:srgbClr>
                </w14:shadow>
              </w:rPr>
            </w:pPr>
          </w:p>
          <w:p w:rsidR="00BE370F" w:rsidRDefault="00BE370F">
            <w:pPr>
              <w:bidi/>
              <w:ind w:right="-57"/>
              <w:jc w:val="both"/>
              <w:rPr>
                <w:rFonts w:ascii="Simplified Arabic" w:hAnsi="Simplified Arabic" w:cs="Simplified Arabic"/>
                <w:sz w:val="26"/>
                <w:szCs w:val="26"/>
                <w:rtl/>
                <w:lang w:bidi="ar-JO"/>
                <w14:shadow w14:blurRad="50800" w14:dist="38100" w14:dir="2700000" w14:sx="100000" w14:sy="100000" w14:kx="0" w14:ky="0" w14:algn="tl">
                  <w14:srgbClr w14:val="000000">
                    <w14:alpha w14:val="60000"/>
                  </w14:srgbClr>
                </w14:shadow>
              </w:rPr>
            </w:pPr>
            <w:r>
              <w:rPr>
                <w:rFonts w:ascii="Simplified Arabic" w:hAnsi="Simplified Arabic" w:cs="Simplified Arabic"/>
                <w:color w:val="000000"/>
                <w:sz w:val="26"/>
                <w:szCs w:val="26"/>
                <w:rtl/>
                <w:lang w:bidi="ar-JO"/>
                <w14:shadow w14:blurRad="50800" w14:dist="38100" w14:dir="2700000" w14:sx="100000" w14:sy="100000" w14:kx="0" w14:ky="0" w14:algn="tl">
                  <w14:srgbClr w14:val="000000">
                    <w14:alpha w14:val="60000"/>
                  </w14:srgbClr>
                </w14:shadow>
              </w:rPr>
              <w:t xml:space="preserve">وفي ضوء المناقشة، </w:t>
            </w:r>
            <w:r>
              <w:rPr>
                <w:rFonts w:ascii="Simplified Arabic" w:hAnsi="Simplified Arabic" w:cs="Simplified Arabic"/>
                <w:b/>
                <w:bCs/>
                <w:sz w:val="26"/>
                <w:szCs w:val="26"/>
                <w:rtl/>
                <w:lang w:bidi="ar-JO"/>
                <w14:shadow w14:blurRad="50800" w14:dist="38100" w14:dir="2700000" w14:sx="100000" w14:sy="100000" w14:kx="0" w14:ky="0" w14:algn="tl">
                  <w14:srgbClr w14:val="000000">
                    <w14:alpha w14:val="60000"/>
                  </w14:srgbClr>
                </w14:shadow>
              </w:rPr>
              <w:t>قرّر</w:t>
            </w:r>
            <w:r>
              <w:rPr>
                <w:rFonts w:ascii="Simplified Arabic" w:hAnsi="Simplified Arabic" w:cs="Simplified Arabic"/>
                <w:sz w:val="26"/>
                <w:szCs w:val="26"/>
                <w:rtl/>
                <w:lang w:bidi="ar-JO"/>
                <w14:shadow w14:blurRad="50800" w14:dist="38100" w14:dir="2700000" w14:sx="100000" w14:sy="100000" w14:kx="0" w14:ky="0" w14:algn="tl">
                  <w14:srgbClr w14:val="000000">
                    <w14:alpha w14:val="60000"/>
                  </w14:srgbClr>
                </w14:shadow>
              </w:rPr>
              <w:t xml:space="preserve"> </w:t>
            </w:r>
            <w:r>
              <w:rPr>
                <w:rFonts w:ascii="Simplified Arabic" w:hAnsi="Simplified Arabic" w:cs="Simplified Arabic"/>
                <w:color w:val="000000"/>
                <w:sz w:val="26"/>
                <w:szCs w:val="26"/>
                <w:rtl/>
                <w:lang w:bidi="ar-JO"/>
                <w14:shadow w14:blurRad="50800" w14:dist="38100" w14:dir="2700000" w14:sx="100000" w14:sy="100000" w14:kx="0" w14:ky="0" w14:algn="tl">
                  <w14:srgbClr w14:val="000000">
                    <w14:alpha w14:val="60000"/>
                  </w14:srgbClr>
                </w14:shadow>
              </w:rPr>
              <w:t xml:space="preserve">المجلس تعديل قراره التنظيمي </w:t>
            </w:r>
            <w:r>
              <w:rPr>
                <w:rFonts w:ascii="Simplified Arabic" w:hAnsi="Simplified Arabic" w:cs="Simplified Arabic"/>
                <w:sz w:val="26"/>
                <w:szCs w:val="26"/>
                <w:rtl/>
                <w:lang w:bidi="ar-JO"/>
                <w14:shadow w14:blurRad="50800" w14:dist="38100" w14:dir="2700000" w14:sx="100000" w14:sy="100000" w14:kx="0" w14:ky="0" w14:algn="tl">
                  <w14:srgbClr w14:val="000000">
                    <w14:alpha w14:val="60000"/>
                  </w14:srgbClr>
                </w14:shadow>
              </w:rPr>
              <w:t xml:space="preserve">رقم 546/2021 الصادر في جلسته رقم (36) تاريخ 29/7/2021 بخصوص تعليمات ترخيص الأشخاص العاملين في توريد أو تركيب أو تشغيل أو صيانة أو فحص نظم مصادر الطاقة المتجددة بحيث يتضمن ما يلي: </w:t>
            </w:r>
          </w:p>
          <w:p w:rsidR="00BE370F" w:rsidRDefault="00BE370F">
            <w:pPr>
              <w:bidi/>
              <w:ind w:right="-57"/>
              <w:jc w:val="both"/>
              <w:rPr>
                <w:rFonts w:ascii="Simplified Arabic" w:hAnsi="Simplified Arabic" w:cs="Simplified Arabic"/>
                <w:color w:val="000000"/>
                <w:sz w:val="36"/>
                <w:szCs w:val="36"/>
                <w:rtl/>
                <w:lang w:bidi="ar-JO"/>
                <w14:shadow w14:blurRad="50800" w14:dist="38100" w14:dir="2700000" w14:sx="100000" w14:sy="100000" w14:kx="0" w14:ky="0" w14:algn="tl">
                  <w14:srgbClr w14:val="000000">
                    <w14:alpha w14:val="60000"/>
                  </w14:srgbClr>
                </w14:shadow>
              </w:rPr>
            </w:pPr>
          </w:p>
          <w:p w:rsidR="00BE370F" w:rsidRDefault="00BE370F" w:rsidP="00277B7B">
            <w:pPr>
              <w:pStyle w:val="ListParagraph"/>
              <w:numPr>
                <w:ilvl w:val="0"/>
                <w:numId w:val="1"/>
              </w:numPr>
              <w:shd w:val="clear" w:color="auto" w:fill="FFFFFF"/>
              <w:bidi/>
              <w:spacing w:after="0" w:line="240" w:lineRule="auto"/>
              <w:ind w:left="463" w:hanging="455"/>
              <w:contextualSpacing/>
              <w:jc w:val="both"/>
              <w:rPr>
                <w:rFonts w:ascii="Simplified Arabic" w:hAnsi="Simplified Arabic" w:cs="Simplified Arabic"/>
                <w:sz w:val="26"/>
                <w:szCs w:val="26"/>
                <w:rtl/>
                <w:lang w:eastAsia="ar-SA" w:bidi="ar-JO"/>
                <w14:shadow w14:blurRad="50800" w14:dist="38100" w14:dir="2700000" w14:sx="100000" w14:sy="100000" w14:kx="0" w14:ky="0" w14:algn="tl">
                  <w14:srgbClr w14:val="000000">
                    <w14:alpha w14:val="60000"/>
                  </w14:srgbClr>
                </w14:shadow>
              </w:rPr>
            </w:pPr>
            <w:r>
              <w:rPr>
                <w:rFonts w:ascii="Simplified Arabic" w:hAnsi="Simplified Arabic" w:cs="Simplified Arabic"/>
                <w:sz w:val="26"/>
                <w:szCs w:val="26"/>
                <w:rtl/>
                <w:lang w:eastAsia="ar-SA" w:bidi="ar-JO"/>
                <w14:shadow w14:blurRad="50800" w14:dist="38100" w14:dir="2700000" w14:sx="100000" w14:sy="100000" w14:kx="0" w14:ky="0" w14:algn="tl">
                  <w14:srgbClr w14:val="000000">
                    <w14:alpha w14:val="60000"/>
                  </w14:srgbClr>
                </w14:shadow>
              </w:rPr>
              <w:t>إلغاء الشرط الوارد في متطلبات الحصول على رخصة الأشخاص العاملين في مجال التركيب والمتضمن الائتلاف مع مقاول مصنف من وزارة الأشغال العامة والإسكان.</w:t>
            </w:r>
          </w:p>
          <w:p w:rsidR="00BE370F" w:rsidRDefault="00BE370F" w:rsidP="00277B7B">
            <w:pPr>
              <w:pStyle w:val="ListParagraph"/>
              <w:numPr>
                <w:ilvl w:val="0"/>
                <w:numId w:val="1"/>
              </w:numPr>
              <w:shd w:val="clear" w:color="auto" w:fill="FFFFFF"/>
              <w:bidi/>
              <w:spacing w:after="0" w:line="240" w:lineRule="auto"/>
              <w:ind w:left="463" w:hanging="455"/>
              <w:contextualSpacing/>
              <w:jc w:val="both"/>
              <w:rPr>
                <w:rFonts w:ascii="Simplified Arabic" w:hAnsi="Simplified Arabic" w:cs="Simplified Arabic"/>
                <w:sz w:val="26"/>
                <w:szCs w:val="26"/>
                <w:rtl/>
                <w:lang w:eastAsia="ar-SA"/>
                <w14:shadow w14:blurRad="50800" w14:dist="38100" w14:dir="2700000" w14:sx="100000" w14:sy="100000" w14:kx="0" w14:ky="0" w14:algn="tl">
                  <w14:srgbClr w14:val="000000">
                    <w14:alpha w14:val="60000"/>
                  </w14:srgbClr>
                </w14:shadow>
              </w:rPr>
            </w:pPr>
            <w:r>
              <w:rPr>
                <w:rFonts w:ascii="Simplified Arabic" w:hAnsi="Simplified Arabic" w:cs="Simplified Arabic"/>
                <w:sz w:val="26"/>
                <w:szCs w:val="26"/>
                <w:rtl/>
                <w:lang w:eastAsia="ar-SA" w:bidi="ar-JO"/>
                <w14:shadow w14:blurRad="50800" w14:dist="38100" w14:dir="2700000" w14:sx="100000" w14:sy="100000" w14:kx="0" w14:ky="0" w14:algn="tl">
                  <w14:srgbClr w14:val="000000">
                    <w14:alpha w14:val="60000"/>
                  </w14:srgbClr>
                </w14:shadow>
              </w:rPr>
              <w:t xml:space="preserve">على المرخص له وفي حال رغبته بتنفيذ مشروع تزيد قدرته عن (50) كيلوواط، إبرام عقد مقاولة مع مقاول مصنف لدى وزارة الأشغال العامة والإسكان باختصاص كهروميكانيك وطاقة متجددة، وعلى أن يقوم المقاول بتوقيع نموذج إقرار بمسؤولية التنفيذ وفقاً للنموذج الذي تعده الهيئة لهذه الغاية، بالإضافة إلى قيام المقاول بختم طلب تشغيل النظام وانتهاء الاعمال المقدم لدى شركة الكهرباء </w:t>
            </w:r>
            <w:r>
              <w:rPr>
                <w:rFonts w:ascii="Simplified Arabic" w:hAnsi="Simplified Arabic" w:cs="Simplified Arabic"/>
                <w:sz w:val="26"/>
                <w:szCs w:val="26"/>
                <w:rtl/>
                <w:lang w:eastAsia="ar-SA" w:bidi="ar-JO"/>
                <w14:shadow w14:blurRad="50800" w14:dist="38100" w14:dir="2700000" w14:sx="100000" w14:sy="100000" w14:kx="0" w14:ky="0" w14:algn="tl">
                  <w14:srgbClr w14:val="000000">
                    <w14:alpha w14:val="60000"/>
                  </w14:srgbClr>
                </w14:shadow>
              </w:rPr>
              <w:lastRenderedPageBreak/>
              <w:t xml:space="preserve">المعنية، كما يتوجب على المقاول تسجيل المشروع لدى نقابة المقاولين الأردنيين حسب الأصول. </w:t>
            </w:r>
          </w:p>
          <w:p w:rsidR="00BE370F" w:rsidRDefault="00BE370F" w:rsidP="00277B7B">
            <w:pPr>
              <w:pStyle w:val="ListParagraph"/>
              <w:numPr>
                <w:ilvl w:val="0"/>
                <w:numId w:val="1"/>
              </w:numPr>
              <w:shd w:val="clear" w:color="auto" w:fill="FFFFFF"/>
              <w:bidi/>
              <w:spacing w:after="0" w:line="240" w:lineRule="auto"/>
              <w:ind w:left="463" w:hanging="455"/>
              <w:contextualSpacing/>
              <w:jc w:val="both"/>
              <w:rPr>
                <w:rFonts w:ascii="Simplified Arabic" w:hAnsi="Simplified Arabic" w:cs="Simplified Arabic"/>
                <w:sz w:val="26"/>
                <w:szCs w:val="26"/>
                <w:rtl/>
                <w:lang w:eastAsia="ar-SA"/>
                <w14:shadow w14:blurRad="50800" w14:dist="38100" w14:dir="2700000" w14:sx="100000" w14:sy="100000" w14:kx="0" w14:ky="0" w14:algn="tl">
                  <w14:srgbClr w14:val="000000">
                    <w14:alpha w14:val="60000"/>
                  </w14:srgbClr>
                </w14:shadow>
              </w:rPr>
            </w:pPr>
            <w:r>
              <w:rPr>
                <w:rFonts w:ascii="Simplified Arabic" w:hAnsi="Simplified Arabic" w:cs="Simplified Arabic"/>
                <w:sz w:val="26"/>
                <w:szCs w:val="26"/>
                <w:rtl/>
                <w:lang w:eastAsia="ar-SA" w:bidi="ar-JO"/>
                <w14:shadow w14:blurRad="50800" w14:dist="38100" w14:dir="2700000" w14:sx="100000" w14:sy="100000" w14:kx="0" w14:ky="0" w14:algn="tl">
                  <w14:srgbClr w14:val="000000">
                    <w14:alpha w14:val="60000"/>
                  </w14:srgbClr>
                </w14:shadow>
              </w:rPr>
              <w:t xml:space="preserve">على المرخص له وفي حال رغبته بتنفيذ مشروع تزيد قدرته عن 50 كيلوواط تعيين مكتب هندسي مرخص لدى نقابة المهندسين الأردنيين للتصميم والإشراف على تنفيذ المشروع، بحيث يقوم المرخص له بتقديم المخططات الهندسية وموافقة المكتب الهندسي على تشغيل المشروع عند تقديم طلب التشغيل لشركة الكهرباء المعنية.  </w:t>
            </w:r>
          </w:p>
          <w:p w:rsidR="00BE370F" w:rsidRDefault="00BE370F" w:rsidP="00277B7B">
            <w:pPr>
              <w:pStyle w:val="ListParagraph"/>
              <w:numPr>
                <w:ilvl w:val="0"/>
                <w:numId w:val="1"/>
              </w:numPr>
              <w:shd w:val="clear" w:color="auto" w:fill="FFFFFF"/>
              <w:bidi/>
              <w:spacing w:after="0" w:line="240" w:lineRule="auto"/>
              <w:ind w:left="463" w:hanging="455"/>
              <w:contextualSpacing/>
              <w:jc w:val="both"/>
              <w:rPr>
                <w:rFonts w:ascii="Simplified Arabic" w:hAnsi="Simplified Arabic" w:cs="Simplified Arabic"/>
                <w:sz w:val="26"/>
                <w:szCs w:val="26"/>
                <w:rtl/>
                <w:lang w:eastAsia="ar-SA"/>
                <w14:shadow w14:blurRad="50800" w14:dist="38100" w14:dir="2700000" w14:sx="100000" w14:sy="100000" w14:kx="0" w14:ky="0" w14:algn="tl">
                  <w14:srgbClr w14:val="000000">
                    <w14:alpha w14:val="60000"/>
                  </w14:srgbClr>
                </w14:shadow>
              </w:rPr>
            </w:pPr>
            <w:r>
              <w:rPr>
                <w:rFonts w:ascii="Simplified Arabic" w:hAnsi="Simplified Arabic" w:cs="Simplified Arabic"/>
                <w:sz w:val="26"/>
                <w:szCs w:val="26"/>
                <w:rtl/>
                <w:lang w:eastAsia="ar-SA" w:bidi="ar-JO"/>
                <w14:shadow w14:blurRad="50800" w14:dist="38100" w14:dir="2700000" w14:sx="100000" w14:sy="100000" w14:kx="0" w14:ky="0" w14:algn="tl">
                  <w14:srgbClr w14:val="000000">
                    <w14:alpha w14:val="60000"/>
                  </w14:srgbClr>
                </w14:shadow>
              </w:rPr>
              <w:t>تنطبق هذه الإجراءات على الشركات/المؤسسات التي تقوم بتقديم طلبات ترخيص أو تجديد لدى الهيئة بعد تاريخ صدور قرار مجلس المفوضين بهذا الخصوص. أما بخصوص المرخص لهم الذين ما زال لديهم رخص سارية المفعول من الهيئة، سيستمر العمل بالرخص الممنوحة لهم لتمكينهم من الوفاء بمتطلباتهم تجاه المستفيدين والمقاولين المؤتلف معهم وبالتالي عدم انطباق البند رقم (2) أعلاه.</w:t>
            </w:r>
          </w:p>
          <w:p w:rsidR="00BE370F" w:rsidRDefault="00BE370F" w:rsidP="00277B7B">
            <w:pPr>
              <w:pStyle w:val="ListParagraph"/>
              <w:numPr>
                <w:ilvl w:val="0"/>
                <w:numId w:val="1"/>
              </w:numPr>
              <w:shd w:val="clear" w:color="auto" w:fill="FFFFFF"/>
              <w:bidi/>
              <w:spacing w:after="0" w:line="240" w:lineRule="auto"/>
              <w:ind w:left="463" w:hanging="455"/>
              <w:contextualSpacing/>
              <w:jc w:val="both"/>
              <w:rPr>
                <w:rFonts w:ascii="Simplified Arabic" w:hAnsi="Simplified Arabic" w:cs="Simplified Arabic"/>
                <w:sz w:val="26"/>
                <w:szCs w:val="26"/>
                <w:rtl/>
                <w:lang w:eastAsia="ar-SA"/>
                <w14:shadow w14:blurRad="50800" w14:dist="38100" w14:dir="2700000" w14:sx="100000" w14:sy="100000" w14:kx="0" w14:ky="0" w14:algn="tl">
                  <w14:srgbClr w14:val="000000">
                    <w14:alpha w14:val="60000"/>
                  </w14:srgbClr>
                </w14:shadow>
              </w:rPr>
            </w:pPr>
            <w:r>
              <w:rPr>
                <w:rFonts w:ascii="Simplified Arabic" w:hAnsi="Simplified Arabic" w:cs="Simplified Arabic"/>
                <w:sz w:val="26"/>
                <w:szCs w:val="26"/>
                <w:rtl/>
                <w:lang w:eastAsia="ar-SA" w:bidi="ar-JO"/>
                <w14:shadow w14:blurRad="50800" w14:dist="38100" w14:dir="2700000" w14:sx="100000" w14:sy="100000" w14:kx="0" w14:ky="0" w14:algn="tl">
                  <w14:srgbClr w14:val="000000">
                    <w14:alpha w14:val="60000"/>
                  </w14:srgbClr>
                </w14:shadow>
              </w:rPr>
              <w:t>في حال رغب المرخص له بتعديل الرخصة الممنوحة له وشطب الائتلاف مع المقاول الوارد أسفل الرخصة، فانه يتم التقدم بطلب رسمي لدى الهيئة مرفق فيه الوثائق حسب الأصول، وبعد تعديل الرخصة ينطبق عليه القرارات المشار اليها في البنود أعلاه</w:t>
            </w:r>
          </w:p>
          <w:p w:rsidR="00BE370F" w:rsidRDefault="00BE370F" w:rsidP="00BE370F">
            <w:pPr>
              <w:pStyle w:val="ListParagraph"/>
              <w:shd w:val="clear" w:color="auto" w:fill="FFFFFF"/>
              <w:bidi/>
              <w:spacing w:after="0" w:line="240" w:lineRule="auto"/>
              <w:ind w:left="8"/>
              <w:jc w:val="both"/>
              <w:rPr>
                <w:rFonts w:ascii="Simplified Arabic" w:hAnsi="Simplified Arabic" w:cs="Simplified Arabic"/>
                <w:sz w:val="44"/>
                <w:szCs w:val="44"/>
                <w:lang w:eastAsia="ar-SA"/>
                <w14:shadow w14:blurRad="50800" w14:dist="38100" w14:dir="2700000" w14:sx="100000" w14:sy="100000" w14:kx="0" w14:ky="0" w14:algn="tl">
                  <w14:srgbClr w14:val="000000">
                    <w14:alpha w14:val="60000"/>
                  </w14:srgbClr>
                </w14:shadow>
              </w:rPr>
            </w:pPr>
          </w:p>
        </w:tc>
      </w:tr>
    </w:tbl>
    <w:p w:rsidR="005C3ED6" w:rsidRDefault="005C3ED6"/>
    <w:sectPr w:rsidR="005C3ED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9B6461"/>
    <w:multiLevelType w:val="hybridMultilevel"/>
    <w:tmpl w:val="508693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70F"/>
    <w:rsid w:val="005C3ED6"/>
    <w:rsid w:val="00BE370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AD48C"/>
  <w15:chartTrackingRefBased/>
  <w15:docId w15:val="{603B47F7-8C6E-4C17-80CC-832DC1690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70F"/>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BE370F"/>
    <w:rPr>
      <w:rFonts w:ascii="Calibri" w:hAnsi="Calibri" w:cs="Calibri"/>
    </w:rPr>
  </w:style>
  <w:style w:type="paragraph" w:styleId="ListParagraph">
    <w:name w:val="List Paragraph"/>
    <w:basedOn w:val="Normal"/>
    <w:link w:val="ListParagraphChar"/>
    <w:uiPriority w:val="34"/>
    <w:qFormat/>
    <w:rsid w:val="00BE370F"/>
    <w:pPr>
      <w:spacing w:after="200" w:line="276" w:lineRule="auto"/>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23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365</Words>
  <Characters>2086</Characters>
  <Application>Microsoft Office Word</Application>
  <DocSecurity>0</DocSecurity>
  <Lines>17</Lines>
  <Paragraphs>4</Paragraphs>
  <ScaleCrop>false</ScaleCrop>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KHataibeh</dc:creator>
  <cp:keywords/>
  <dc:description/>
  <cp:lastModifiedBy>Ahmad KHataibeh</cp:lastModifiedBy>
  <cp:revision>2</cp:revision>
  <dcterms:created xsi:type="dcterms:W3CDTF">2025-01-19T10:12:00Z</dcterms:created>
  <dcterms:modified xsi:type="dcterms:W3CDTF">2025-01-19T10:13:00Z</dcterms:modified>
</cp:coreProperties>
</file>